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AB3B90" w:rsidTr="00AB3B9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B3B90" w:rsidRDefault="00AB3B90">
            <w:pPr>
              <w:pStyle w:val="ConsPlusNormal"/>
              <w:outlineLvl w:val="0"/>
            </w:pPr>
            <w:r>
              <w:t>28 ноября 2024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AB3B90" w:rsidRDefault="00AB3B90">
            <w:pPr>
              <w:pStyle w:val="ConsPlusNormal"/>
              <w:jc w:val="right"/>
              <w:outlineLvl w:val="0"/>
            </w:pPr>
            <w:r>
              <w:t>N 2766-ОЗ</w:t>
            </w:r>
          </w:p>
        </w:tc>
      </w:tr>
    </w:tbl>
    <w:p w:rsidR="00AB3B90" w:rsidRDefault="00AB3B9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Title"/>
        <w:jc w:val="center"/>
      </w:pPr>
      <w:r>
        <w:t>ЗАКОНОДАТЕЛЬНОЕ СОБРАНИЕ ОМСКОЙ ОБЛАСТИ</w:t>
      </w:r>
    </w:p>
    <w:p w:rsidR="00AB3B90" w:rsidRDefault="00AB3B90">
      <w:pPr>
        <w:pStyle w:val="ConsPlusTitle"/>
        <w:jc w:val="both"/>
      </w:pPr>
    </w:p>
    <w:p w:rsidR="00AB3B90" w:rsidRDefault="00AB3B90">
      <w:pPr>
        <w:pStyle w:val="ConsPlusTitle"/>
        <w:jc w:val="center"/>
      </w:pPr>
      <w:r>
        <w:t>ЗАКОН</w:t>
      </w:r>
    </w:p>
    <w:p w:rsidR="00AB3B90" w:rsidRDefault="00AB3B90">
      <w:pPr>
        <w:pStyle w:val="ConsPlusTitle"/>
        <w:jc w:val="center"/>
      </w:pPr>
      <w:r>
        <w:t>ОМСКОЙ ОБЛАСТИ</w:t>
      </w:r>
    </w:p>
    <w:p w:rsidR="00AB3B90" w:rsidRDefault="00AB3B90">
      <w:pPr>
        <w:pStyle w:val="ConsPlusTitle"/>
        <w:jc w:val="both"/>
      </w:pPr>
    </w:p>
    <w:p w:rsidR="00AB3B90" w:rsidRDefault="00AB3B90">
      <w:pPr>
        <w:pStyle w:val="ConsPlusTitle"/>
        <w:jc w:val="center"/>
      </w:pPr>
      <w:r>
        <w:t>О ВНЕСЕНИИ ИЗМЕНЕНИЙ В ЗАКОН ОМСКОЙ ОБЛАСТИ</w:t>
      </w:r>
    </w:p>
    <w:p w:rsidR="00AB3B90" w:rsidRDefault="00AB3B90">
      <w:pPr>
        <w:pStyle w:val="ConsPlusTitle"/>
        <w:jc w:val="center"/>
      </w:pPr>
      <w:r>
        <w:t>"О ПАТЕНТНОЙ СИСТЕМЕ НАЛОГООБЛОЖЕНИЯ"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right"/>
      </w:pPr>
      <w:proofErr w:type="gramStart"/>
      <w:r>
        <w:t>Принят</w:t>
      </w:r>
      <w:proofErr w:type="gramEnd"/>
    </w:p>
    <w:p w:rsidR="00AB3B90" w:rsidRDefault="00AB3B90">
      <w:pPr>
        <w:pStyle w:val="ConsPlusNormal"/>
        <w:jc w:val="right"/>
      </w:pPr>
      <w:r>
        <w:t>Законодательным Собранием</w:t>
      </w:r>
    </w:p>
    <w:p w:rsidR="00AB3B90" w:rsidRDefault="00AB3B90">
      <w:pPr>
        <w:pStyle w:val="ConsPlusNormal"/>
        <w:jc w:val="right"/>
      </w:pPr>
      <w:r>
        <w:t>Омской области</w:t>
      </w:r>
    </w:p>
    <w:p w:rsidR="00AB3B90" w:rsidRDefault="00AB3B90">
      <w:pPr>
        <w:pStyle w:val="ConsPlusNormal"/>
        <w:jc w:val="right"/>
      </w:pPr>
      <w:r>
        <w:t>28 ноября 2024 года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ind w:firstLine="540"/>
        <w:jc w:val="both"/>
        <w:outlineLvl w:val="1"/>
      </w:pPr>
      <w:r>
        <w:t xml:space="preserve">Статья 1. </w:t>
      </w:r>
      <w:proofErr w:type="gramStart"/>
      <w:r>
        <w:t xml:space="preserve">Внести в </w:t>
      </w:r>
      <w:hyperlink r:id="rId4">
        <w:r>
          <w:rPr>
            <w:color w:val="0000FF"/>
          </w:rPr>
          <w:t>Закон</w:t>
        </w:r>
      </w:hyperlink>
      <w:r>
        <w:t xml:space="preserve"> Омской области от 29 ноября 2012 года N 1488-ОЗ "О патентной системе налогообложения" (Ведомости Законодательного Собрания Омской области, 2012, N 6 (79), ст. 4911; Омский вестник, 2014, 28 ноября, N 51; Официальный интернет-портал правовой информации (</w:t>
      </w:r>
      <w:hyperlink r:id="rId5">
        <w:proofErr w:type="gramEnd"/>
        <w:r>
          <w:rPr>
            <w:color w:val="0000FF"/>
          </w:rPr>
          <w:t>www.pravo.gov.ru</w:t>
        </w:r>
        <w:proofErr w:type="gramStart"/>
      </w:hyperlink>
      <w:r>
        <w:t>), 2015, 9 ноября, N 5500201511090017; 2020, 28 апреля, N 5500202004280015;</w:t>
      </w:r>
      <w:proofErr w:type="gramEnd"/>
      <w:r>
        <w:t xml:space="preserve"> </w:t>
      </w:r>
      <w:proofErr w:type="gramStart"/>
      <w:r>
        <w:t>27 ноября, N 5500202011270002; 2021, 24 февраля, N 5500202102240002) следующие изменения:</w:t>
      </w:r>
      <w:proofErr w:type="gramEnd"/>
    </w:p>
    <w:p w:rsidR="00AB3B90" w:rsidRDefault="00AB3B90">
      <w:pPr>
        <w:pStyle w:val="ConsPlusNormal"/>
        <w:spacing w:before="220"/>
        <w:ind w:firstLine="540"/>
        <w:jc w:val="both"/>
      </w:pPr>
      <w:r>
        <w:t xml:space="preserve">1. </w:t>
      </w:r>
      <w:hyperlink r:id="rId6">
        <w:r>
          <w:rPr>
            <w:color w:val="0000FF"/>
          </w:rPr>
          <w:t>Дополнить</w:t>
        </w:r>
      </w:hyperlink>
      <w:r>
        <w:t xml:space="preserve"> статьей 2.2 следующего содержания:</w:t>
      </w:r>
    </w:p>
    <w:p w:rsidR="00AB3B90" w:rsidRDefault="00AB3B90">
      <w:pPr>
        <w:pStyle w:val="ConsPlusNormal"/>
        <w:spacing w:before="220"/>
        <w:ind w:firstLine="540"/>
        <w:jc w:val="both"/>
      </w:pPr>
      <w:r>
        <w:t>"Статья 2.2. Индексация размеров дохода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ind w:firstLine="540"/>
        <w:jc w:val="both"/>
      </w:pPr>
      <w:r>
        <w:t xml:space="preserve">Размеры дохода по всем видам деятельности, указанным в приложении, начиная с 2025 года подлежат ежегодной индексации на коэффициент-дефлятор, установленный на соответствующий календарный год, в соответствии со </w:t>
      </w:r>
      <w:hyperlink r:id="rId7">
        <w:r>
          <w:rPr>
            <w:color w:val="0000FF"/>
          </w:rPr>
          <w:t>статьей 346.43</w:t>
        </w:r>
      </w:hyperlink>
      <w:r>
        <w:t xml:space="preserve"> Налогового кодекса Российской Федерации</w:t>
      </w:r>
      <w:proofErr w:type="gramStart"/>
      <w:r>
        <w:t>.".</w:t>
      </w:r>
      <w:proofErr w:type="gramEnd"/>
    </w:p>
    <w:p w:rsidR="00AB3B90" w:rsidRDefault="00AB3B90">
      <w:pPr>
        <w:pStyle w:val="ConsPlusNormal"/>
        <w:spacing w:before="220"/>
        <w:ind w:firstLine="540"/>
        <w:jc w:val="both"/>
      </w:pPr>
      <w:r>
        <w:t xml:space="preserve">2. </w:t>
      </w:r>
      <w:hyperlink r:id="rId8">
        <w:r>
          <w:rPr>
            <w:color w:val="0000FF"/>
          </w:rPr>
          <w:t>Приложение</w:t>
        </w:r>
      </w:hyperlink>
      <w:r>
        <w:t xml:space="preserve"> "Перечень видов предпринимательской деятельности, в отношении которых применяется патентная система налогообложения, и размеры потенциально возможного к получению индивидуальным предпринимателем годового дохода по видам предпринимательской деятельности, в отношении которых применяется патентная система налогообложения" изложить в новой редакции согласно </w:t>
      </w:r>
      <w:hyperlink w:anchor="P45">
        <w:r>
          <w:rPr>
            <w:color w:val="0000FF"/>
          </w:rPr>
          <w:t>приложению</w:t>
        </w:r>
      </w:hyperlink>
      <w:r>
        <w:t xml:space="preserve"> к настоящему Закону.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ind w:firstLine="540"/>
        <w:jc w:val="both"/>
        <w:outlineLvl w:val="1"/>
      </w:pPr>
      <w:r>
        <w:t xml:space="preserve">Статья 2. Настоящий Закон вступает в силу с 1 января 2025 года, но не ранее чем по истечении одного месяца со дня его официального опубликования и не ранее 1-го числа очередного </w:t>
      </w:r>
      <w:hyperlink r:id="rId9">
        <w:r>
          <w:rPr>
            <w:color w:val="0000FF"/>
          </w:rPr>
          <w:t>налогового периода</w:t>
        </w:r>
      </w:hyperlink>
      <w:r>
        <w:t xml:space="preserve"> по патентной системе налогообложения.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right"/>
      </w:pPr>
      <w:r>
        <w:t>Губернатор Омской области</w:t>
      </w:r>
    </w:p>
    <w:p w:rsidR="00AB3B90" w:rsidRDefault="00AB3B90">
      <w:pPr>
        <w:pStyle w:val="ConsPlusNormal"/>
        <w:jc w:val="right"/>
      </w:pPr>
      <w:proofErr w:type="spellStart"/>
      <w:r>
        <w:t>В.П.Хоценко</w:t>
      </w:r>
      <w:proofErr w:type="spellEnd"/>
    </w:p>
    <w:p w:rsidR="00AB3B90" w:rsidRDefault="00AB3B90">
      <w:pPr>
        <w:pStyle w:val="ConsPlusNormal"/>
      </w:pPr>
      <w:r>
        <w:t>г. Омск</w:t>
      </w:r>
    </w:p>
    <w:p w:rsidR="00AB3B90" w:rsidRDefault="00AB3B90">
      <w:pPr>
        <w:pStyle w:val="ConsPlusNormal"/>
        <w:spacing w:before="220"/>
      </w:pPr>
      <w:r>
        <w:t>28 ноября 2024 года</w:t>
      </w:r>
    </w:p>
    <w:p w:rsidR="00AB3B90" w:rsidRDefault="00AB3B90">
      <w:pPr>
        <w:pStyle w:val="ConsPlusNormal"/>
        <w:spacing w:before="220"/>
      </w:pPr>
      <w:r>
        <w:t>N 2766-ОЗ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right"/>
        <w:outlineLvl w:val="0"/>
      </w:pPr>
      <w:r>
        <w:t>Приложение</w:t>
      </w:r>
    </w:p>
    <w:p w:rsidR="00AB3B90" w:rsidRDefault="00AB3B90">
      <w:pPr>
        <w:pStyle w:val="ConsPlusNormal"/>
        <w:jc w:val="right"/>
      </w:pPr>
      <w:r>
        <w:lastRenderedPageBreak/>
        <w:t>к Закону Омской области "О внесении изменений</w:t>
      </w:r>
    </w:p>
    <w:p w:rsidR="00AB3B90" w:rsidRDefault="00AB3B90">
      <w:pPr>
        <w:pStyle w:val="ConsPlusNormal"/>
        <w:jc w:val="right"/>
      </w:pPr>
      <w:r>
        <w:t>в Закон Омской области "О патентной системе</w:t>
      </w:r>
    </w:p>
    <w:p w:rsidR="00AB3B90" w:rsidRDefault="00AB3B90">
      <w:pPr>
        <w:pStyle w:val="ConsPlusNormal"/>
        <w:jc w:val="right"/>
      </w:pPr>
      <w:r>
        <w:t>налогообложения"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right"/>
      </w:pPr>
      <w:r>
        <w:t>"Приложение</w:t>
      </w:r>
    </w:p>
    <w:p w:rsidR="00AB3B90" w:rsidRDefault="00AB3B90">
      <w:pPr>
        <w:pStyle w:val="ConsPlusNormal"/>
        <w:jc w:val="right"/>
      </w:pPr>
      <w:r>
        <w:t>к Закону Омской области</w:t>
      </w:r>
    </w:p>
    <w:p w:rsidR="00AB3B90" w:rsidRDefault="00AB3B90">
      <w:pPr>
        <w:pStyle w:val="ConsPlusNormal"/>
        <w:jc w:val="right"/>
      </w:pPr>
      <w:r>
        <w:t>"О патентной системе налогообложения"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Title"/>
        <w:jc w:val="center"/>
      </w:pPr>
      <w:bookmarkStart w:id="0" w:name="P45"/>
      <w:bookmarkEnd w:id="0"/>
      <w:r>
        <w:t>ПЕРЕЧЕНЬ</w:t>
      </w:r>
    </w:p>
    <w:p w:rsidR="00AB3B90" w:rsidRDefault="00AB3B90">
      <w:pPr>
        <w:pStyle w:val="ConsPlusTitle"/>
        <w:jc w:val="center"/>
      </w:pPr>
      <w:r>
        <w:t>видов предпринимательской деятельности, в отношении которых</w:t>
      </w:r>
    </w:p>
    <w:p w:rsidR="00AB3B90" w:rsidRDefault="00AB3B90">
      <w:pPr>
        <w:pStyle w:val="ConsPlusTitle"/>
        <w:jc w:val="center"/>
      </w:pPr>
      <w:r>
        <w:t>применяется патентная система налогообложения, и размеры</w:t>
      </w:r>
    </w:p>
    <w:p w:rsidR="00AB3B90" w:rsidRDefault="00AB3B90">
      <w:pPr>
        <w:pStyle w:val="ConsPlusTitle"/>
        <w:jc w:val="center"/>
      </w:pPr>
      <w:r>
        <w:t xml:space="preserve">потенциально </w:t>
      </w:r>
      <w:proofErr w:type="gramStart"/>
      <w:r>
        <w:t>возможного</w:t>
      </w:r>
      <w:proofErr w:type="gramEnd"/>
      <w:r>
        <w:t xml:space="preserve"> к получению индивидуальным</w:t>
      </w:r>
    </w:p>
    <w:p w:rsidR="00AB3B90" w:rsidRDefault="00AB3B90">
      <w:pPr>
        <w:pStyle w:val="ConsPlusTitle"/>
        <w:jc w:val="center"/>
      </w:pPr>
      <w:r>
        <w:t>предпринимателем годового дохода по видам</w:t>
      </w:r>
    </w:p>
    <w:p w:rsidR="00AB3B90" w:rsidRDefault="00AB3B90">
      <w:pPr>
        <w:pStyle w:val="ConsPlusTitle"/>
        <w:jc w:val="center"/>
      </w:pPr>
      <w:r>
        <w:t>предпринимательской деятельности, в отношении которых</w:t>
      </w:r>
    </w:p>
    <w:p w:rsidR="00AB3B90" w:rsidRDefault="00AB3B90">
      <w:pPr>
        <w:pStyle w:val="ConsPlusTitle"/>
        <w:jc w:val="center"/>
      </w:pPr>
      <w:r>
        <w:t>применяется патентная система налогообложения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sectPr w:rsidR="00AB3B90" w:rsidSect="000C25F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1"/>
        <w:gridCol w:w="5613"/>
        <w:gridCol w:w="2381"/>
        <w:gridCol w:w="2494"/>
        <w:gridCol w:w="2494"/>
      </w:tblGrid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Вид предпринимательской деятельности, в отношении которого применяется патентная система налогообложения</w:t>
            </w:r>
          </w:p>
        </w:tc>
        <w:tc>
          <w:tcPr>
            <w:tcW w:w="238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4988" w:type="dxa"/>
            <w:gridSpan w:val="2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Размер потенциально возможного к получению индивидуальным предпринимателем годового дохода, рублей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по видам предпринимательской деятельности, в отношении которых применяется патентная система налогообложения, осуществляемым на территории города с численностью населения более 1 млн. человек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по видам предпринимательской деятельности, в отношении которых применяется патентная система налогообложения, осуществляемым на иной территории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Ремонт, чистка, окраска и пошив обуви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Парикмахерские и косметические услуги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Стирка, химическая чистка и крашение текстильных и меховых изделий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166 800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106 800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Ремонт мебели и предметов домашнего обихода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106 800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в области фотографии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 xml:space="preserve">Ремонт, техническое обслуживание автотранспортных и </w:t>
            </w:r>
            <w:proofErr w:type="spellStart"/>
            <w:r>
              <w:t>мототранспортных</w:t>
            </w:r>
            <w:proofErr w:type="spellEnd"/>
            <w: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1 166 500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1 083 000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660 000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500 000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613" w:type="dxa"/>
          </w:tcPr>
          <w:p w:rsidR="00AB3B90" w:rsidRDefault="00AB3B90">
            <w:pPr>
              <w:pStyle w:val="ConsPlusNormal"/>
            </w:pPr>
            <w:r>
      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988" w:type="dxa"/>
            <w:gridSpan w:val="2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994 000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982" w:type="dxa"/>
            <w:gridSpan w:val="4"/>
            <w:vAlign w:val="center"/>
          </w:tcPr>
          <w:p w:rsidR="00AB3B90" w:rsidRDefault="00AB3B90">
            <w:pPr>
              <w:pStyle w:val="ConsPlusNormal"/>
            </w:pPr>
            <w:r>
              <w:t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11.1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</w:pPr>
            <w:r>
              <w:t>деятельность такси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988" w:type="dxa"/>
            <w:gridSpan w:val="2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924 000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11.2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</w:pPr>
            <w:r>
              <w:t>оказание автотранспортных услуг по перевозке пассажиров автомобильным транспортом (за исключением деятельности такси)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988" w:type="dxa"/>
            <w:gridSpan w:val="2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994 000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Реконструкция или ремонт существующих жилых и нежилых зданий, а также спортивных сооружений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1 005 000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958 000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266 600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200 000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106 800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923 000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897 700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150 000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113 400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присмотру и уходу за детьми и больными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106 800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Сбор тары и пригодных для вторичного использования материалов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923 000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897 700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150 000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113 400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Деятельность ветеринарная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 xml:space="preserve">без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923 000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897 700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150 000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113 400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>Сдача в аренду (наем) собственных или арендованных жилых помещений, а также сдача в аренду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 xml:space="preserve">не </w:t>
            </w:r>
            <w:proofErr w:type="gramStart"/>
            <w:r>
              <w:t>установлен</w:t>
            </w:r>
            <w:proofErr w:type="gramEnd"/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15 890 000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12 712 000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Изготовление изделий народных художественных промыслов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888 000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160 000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Производство и реставрация ковров и ковровых изделий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Ремонт ювелирных изделий, бижутерии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Чеканка и гравировка ювелирных изделий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Деятельность в области звукозаписи и издания музыкальных произведений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уборке квартир и частных домов, деятельность домашних хозяйств с наемными работниками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106 600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Проведение занятий по физической культуре и спорту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29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платных туалетов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897 700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113 400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</w:pPr>
            <w:r>
              <w:t>Оказание услуг по перевозке пассажиров водным транспортом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судов водного транспорта</w:t>
            </w:r>
          </w:p>
        </w:tc>
        <w:tc>
          <w:tcPr>
            <w:tcW w:w="4988" w:type="dxa"/>
            <w:gridSpan w:val="2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924 000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</w:pPr>
            <w:r>
              <w:t>Оказание услуг по перевозке грузов водным транспортом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судов водного транспорта</w:t>
            </w:r>
          </w:p>
        </w:tc>
        <w:tc>
          <w:tcPr>
            <w:tcW w:w="4988" w:type="dxa"/>
            <w:gridSpan w:val="2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994 000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proofErr w:type="gramStart"/>
            <w: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  <w:proofErr w:type="gramEnd"/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106 600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35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106 600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Деятельность по благоустройству ландшафта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106 600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</w:t>
            </w:r>
            <w:hyperlink r:id="rId10">
              <w:r>
                <w:rPr>
                  <w:color w:val="0000FF"/>
                </w:rPr>
                <w:t>законом</w:t>
              </w:r>
            </w:hyperlink>
            <w:r>
              <w:t xml:space="preserve"> от 12 апреля 2010 года N 61-ФЗ "Об обращении лекарственных средств"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Осуществление частной детективной деятельности лицом, имеющим лицензию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40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прокату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экскурсионные туристические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Организация обрядов (свадеб, юбилеев), в том числе музыкальное сопровождение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Организация похорон и предоставление связанных с ними услуг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173 400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уличных патрулей, охранников, сторожей и вахтеров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958 000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200 000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45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64 000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32 000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2982" w:type="dxa"/>
            <w:gridSpan w:val="4"/>
            <w:vAlign w:val="center"/>
          </w:tcPr>
          <w:p w:rsidR="00AB3B90" w:rsidRDefault="00AB3B90">
            <w:pPr>
              <w:pStyle w:val="ConsPlusNormal"/>
            </w:pPr>
            <w: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46.1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 (кроме развозной и разносной розничной торговли)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64 000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32 000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46.2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</w:pPr>
            <w:r>
              <w:t>деятельность по осуществлению торговли через торговые автоматы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один объект стационарной торговой сети</w:t>
            </w:r>
          </w:p>
        </w:tc>
        <w:tc>
          <w:tcPr>
            <w:tcW w:w="4988" w:type="dxa"/>
            <w:gridSpan w:val="2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355 900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46.3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</w:pPr>
            <w:r>
              <w:t>розничная торговля, осуществляемая через объекты нестационарной торговой сети (в части развозной и разносной розничной торговли)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один объект нестационарной торговой сети</w:t>
            </w:r>
          </w:p>
        </w:tc>
        <w:tc>
          <w:tcPr>
            <w:tcW w:w="4988" w:type="dxa"/>
            <w:gridSpan w:val="2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900 000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</w:pPr>
            <w:r>
              <w:t>Услуги общественного питания, оказываемые через объекты организации общественного питания &lt;*&gt;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45 000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22 500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</w:pPr>
            <w: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один объект организации общественного питания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479 700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303 200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Оказание услуг по забою и транспортировке скота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887 000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106 600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80 000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50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Производство кожи и изделий из кожи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 xml:space="preserve">Сбор и заготовка пищевых лесных ресурсов, </w:t>
            </w:r>
            <w:proofErr w:type="spellStart"/>
            <w:r>
              <w:t>недревесных</w:t>
            </w:r>
            <w:proofErr w:type="spellEnd"/>
            <w:r>
              <w:t xml:space="preserve"> лесных ресурсов и лекарственных растений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887 000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106 600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80 000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Переработка и консервирование фруктов и овощей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Производство молочной продукции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Растениеводство, услуги в области растениеводства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 xml:space="preserve">Производство хлебобулочных и мучных кондитерских </w:t>
            </w:r>
            <w:r>
              <w:lastRenderedPageBreak/>
              <w:t>изделий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 xml:space="preserve">без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Рыболовство и рыбоводство, рыболовство любительское и спортивное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930 000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893 500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160 000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106 600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Лесоводство и прочая лесохозяйственная деятельность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Деятельность по письменному и устному переводу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Деятельность по уходу за престарелыми и инвалидами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Сбор, обработка и утилизация отходов, а также обработка вторичного сырья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Резка, обработка и отделка камня для памятников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939 800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web-страниц, включая их адаптацию и модификацию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Ремонт компьютеров и коммуникационного оборудования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Животноводство, услуги в области животноводства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5613" w:type="dxa"/>
            <w:vAlign w:val="center"/>
          </w:tcPr>
          <w:p w:rsidR="00AB3B90" w:rsidRDefault="00AB3B90">
            <w:pPr>
              <w:pStyle w:val="ConsPlusNormal"/>
            </w:pPr>
            <w:r>
              <w:t>Деятельность стоянок для транспортных средств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3 000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1 500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 xml:space="preserve">Помол зерна, производство муки и крупы из зерен пшеницы, ржи, овса, кукурузы или прочих хлебных </w:t>
            </w:r>
            <w:r>
              <w:lastRenderedPageBreak/>
              <w:t>злаков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67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уходу за домашними животными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изготовлению валяной обуви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изготовлению сельскохозяйственного инвентаря из материала заказчика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72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Изготовление и ремонт деревянных лодок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Ремонт игрушек и подобных им изделий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Ремонт спортивного и туристического оборудования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вспашке огородов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Услуги по распиловке дров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77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Сборка и ремонт очков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>Переплетные, брошюровочные, окантовочные, картонажные работы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</w:pPr>
            <w:r>
              <w:t xml:space="preserve">Услуги по ремонту сифонов и </w:t>
            </w:r>
            <w:proofErr w:type="spellStart"/>
            <w:r>
              <w:t>автосифонов</w:t>
            </w:r>
            <w:proofErr w:type="spellEnd"/>
            <w:r>
              <w:t>, в том числе зарядка газовых баллончиков для сифонов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82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>Изготовление прочей мебели и отдельных мебельных деталей, не включенных в другие группировки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>Работы столярные и плотничные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>Деятельность физкультурно-оздоровительная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>Услуги копировально-множительные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  <w:tr w:rsidR="00AB3B90">
        <w:tc>
          <w:tcPr>
            <w:tcW w:w="601" w:type="dxa"/>
            <w:vMerge w:val="restart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5613" w:type="dxa"/>
            <w:vMerge w:val="restart"/>
            <w:vAlign w:val="center"/>
          </w:tcPr>
          <w:p w:rsidR="00AB3B90" w:rsidRDefault="00AB3B90">
            <w:pPr>
              <w:pStyle w:val="ConsPlusNormal"/>
              <w:jc w:val="both"/>
            </w:pPr>
            <w:r>
              <w:t xml:space="preserve">Ремонт прочих предметов личного потребления и </w:t>
            </w:r>
            <w:r>
              <w:lastRenderedPageBreak/>
              <w:t>бытовых товаров</w:t>
            </w: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 xml:space="preserve">без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lastRenderedPageBreak/>
              <w:t>967 500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911 700</w:t>
            </w:r>
          </w:p>
        </w:tc>
      </w:tr>
      <w:tr w:rsidR="00AB3B90">
        <w:tc>
          <w:tcPr>
            <w:tcW w:w="601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5613" w:type="dxa"/>
            <w:vMerge/>
          </w:tcPr>
          <w:p w:rsidR="00AB3B90" w:rsidRDefault="00AB3B90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AB3B90" w:rsidRDefault="00AB3B90">
            <w:pPr>
              <w:pStyle w:val="ConsPlusNormal"/>
              <w:jc w:val="center"/>
            </w:pPr>
            <w:r>
              <w:t>133 400</w:t>
            </w:r>
          </w:p>
        </w:tc>
      </w:tr>
    </w:tbl>
    <w:p w:rsidR="00AB3B90" w:rsidRDefault="00AB3B90">
      <w:pPr>
        <w:pStyle w:val="ConsPlusNormal"/>
        <w:sectPr w:rsidR="00AB3B90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ind w:firstLine="540"/>
        <w:jc w:val="both"/>
      </w:pPr>
      <w:r>
        <w:t>--------------------------------</w:t>
      </w:r>
    </w:p>
    <w:p w:rsidR="00AB3B90" w:rsidRDefault="00AB3B90">
      <w:pPr>
        <w:pStyle w:val="ConsPlusNormal"/>
        <w:spacing w:before="220"/>
        <w:ind w:firstLine="540"/>
        <w:jc w:val="both"/>
      </w:pPr>
      <w:r>
        <w:t>&lt;*&gt; За исключением вида предпринимательской деятельности, в отношении которого применяется патентная система налогообложения, предусмотренного строкой 48 настоящего перечня.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center"/>
      </w:pPr>
      <w:r>
        <w:t>_______________"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center"/>
      </w:pPr>
      <w:r>
        <w:t>_______________</w:t>
      </w: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jc w:val="both"/>
      </w:pPr>
    </w:p>
    <w:p w:rsidR="00AB3B90" w:rsidRDefault="00AB3B9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AB3B90"/>
    <w:sectPr w:rsidR="00F44017" w:rsidSect="00EA19D3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AB3B90"/>
    <w:rsid w:val="00096C9F"/>
    <w:rsid w:val="001F3BD7"/>
    <w:rsid w:val="00226525"/>
    <w:rsid w:val="002A1547"/>
    <w:rsid w:val="006500AD"/>
    <w:rsid w:val="006B4565"/>
    <w:rsid w:val="00AB3B90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3B9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AB3B9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AB3B9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AB3B9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AB3B9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AB3B9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AB3B9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AB3B9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148&amp;n=164232&amp;dst=193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9355&amp;dst=769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148&amp;n=164232" TargetMode="External"/><Relationship Id="rId11" Type="http://schemas.openxmlformats.org/officeDocument/2006/relationships/fontTable" Target="fontTable.xml"/><Relationship Id="rId5" Type="http://schemas.openxmlformats.org/officeDocument/2006/relationships/hyperlink" Target="www.pravo.gov.ru" TargetMode="External"/><Relationship Id="rId10" Type="http://schemas.openxmlformats.org/officeDocument/2006/relationships/hyperlink" Target="https://login.consultant.ru/link/?req=doc&amp;base=LAW&amp;n=468491" TargetMode="External"/><Relationship Id="rId4" Type="http://schemas.openxmlformats.org/officeDocument/2006/relationships/hyperlink" Target="https://login.consultant.ru/link/?req=doc&amp;base=RLAW148&amp;n=164232" TargetMode="External"/><Relationship Id="rId9" Type="http://schemas.openxmlformats.org/officeDocument/2006/relationships/hyperlink" Target="https://login.consultant.ru/link/?req=doc&amp;base=LAW&amp;n=489355&amp;dst=78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3141</Words>
  <Characters>17908</Characters>
  <Application>Microsoft Office Word</Application>
  <DocSecurity>0</DocSecurity>
  <Lines>149</Lines>
  <Paragraphs>42</Paragraphs>
  <ScaleCrop>false</ScaleCrop>
  <Company>Hewlett-Packard Company</Company>
  <LinksUpToDate>false</LinksUpToDate>
  <CharactersWithSpaces>21007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2025-02-11T06:14:00Z</dcterms:created>
  <dcterms:modified xsi:type="dcterms:W3CDTF">2025-02-11T06:15:00Z</dcterms:modified>
</cp:coreProperties>
</file>