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CA" w:rsidRPr="00E832E4" w:rsidRDefault="009A06C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Приложение N 4</w:t>
      </w:r>
    </w:p>
    <w:p w:rsidR="009A06CA" w:rsidRPr="00E832E4" w:rsidRDefault="009A06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к приказу ФНС России</w:t>
      </w:r>
    </w:p>
    <w:p w:rsidR="009A06CA" w:rsidRPr="00E832E4" w:rsidRDefault="009A06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от 07.11.2023 N ЕА-7-3/816@</w:t>
      </w: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106"/>
      <w:bookmarkEnd w:id="0"/>
      <w:r w:rsidRPr="00E832E4">
        <w:rPr>
          <w:rFonts w:ascii="Times New Roman" w:hAnsi="Times New Roman" w:cs="Times New Roman"/>
          <w:sz w:val="24"/>
          <w:szCs w:val="24"/>
        </w:rPr>
        <w:t>ПОРЯДОК</w:t>
      </w:r>
    </w:p>
    <w:p w:rsidR="009A06CA" w:rsidRPr="00E832E4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ЗАПОЛНЕНИЯ КНИГИ УЧЕТА ДОХОДОВ И РАСХОДОВ ИНДИВИДУАЛЬНЫХ</w:t>
      </w:r>
    </w:p>
    <w:p w:rsidR="009A06CA" w:rsidRPr="00E832E4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ПРЕДПРИНИМАТЕЛЕЙ, ПРИМЕНЯЮЩИХ СИСТЕМУ НАЛОГООБЛОЖЕНИЯ</w:t>
      </w:r>
    </w:p>
    <w:p w:rsidR="009A06CA" w:rsidRPr="00E832E4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ДЛЯ СЕЛЬСКОХОЗЯЙСТВЕННЫХ ТОВАРОПРОИЗВОДИТЕЛЕЙ</w:t>
      </w:r>
    </w:p>
    <w:p w:rsidR="009A06CA" w:rsidRPr="00E832E4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(ЕДИНЫЙ СЕЛЬСКОХОЗЯЙСТВЕННЫЙ НАЛОГ)</w:t>
      </w: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предприниматели, применяющие систему налогообложения для сельскохозяйственных товаропроизводителей (единый сельскохозяйственный налог) (далее - налогоплательщики), ведут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Книгу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индивидуальных предпринимателей, применяющих систему налогообложения для сельскохозяйственных товаропроизводителей (единый сельскохозяйственный налог) (далее - Книга учета доходов и расходов), в которой в хронологической последовательности на основе первичных документов отражают хозяйственные операции за отчетный (налоговый) период.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2.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заполняется на русском языке. Первичные учетные документы, составленные на иностранном языке или языках народов Российской Федерации, должны иметь построчный перевод на русский язык.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3. Заполнение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осуществляется как на бумажных носителях, так и в электронной форме. На каждый очередной налоговый период заполняется новая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4.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при ее заполнении должна быть прошнурована и пронумерована.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На последней странице пронумерованной и прошнурованной налогоплательщиком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(в том числе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расходов, которая велась в электронной форме и выведена на бумажные носители по окончании налогового периода) указывается количество содержащихся в ней страниц, которое подтверждается подписью налогоплательщика и скрепляется его печатью (при ее наличии).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5. Исправление ошибок в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Книге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должно быть обосновано и подтверждено подписью налогоплательщика с указанием даты исправления и печатью налогоплательщика (при ее наличии).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6. При заполнении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титульного листа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Книги учета доходов и расходов налогоплательщик указывает: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календарный год, на который открыта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код формы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 и расходов по Общероссийскому </w:t>
      </w:r>
      <w:hyperlink r:id="rId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классификатору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управленческой документации (ОКУД) и дату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начала ведения </w:t>
      </w:r>
      <w:hyperlink w:anchor="P4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учета доходов</w:t>
      </w:r>
      <w:proofErr w:type="gramEnd"/>
      <w:r w:rsidRPr="00E832E4">
        <w:rPr>
          <w:rFonts w:ascii="Times New Roman" w:hAnsi="Times New Roman" w:cs="Times New Roman"/>
          <w:sz w:val="24"/>
          <w:szCs w:val="24"/>
        </w:rPr>
        <w:t xml:space="preserve"> и расходов;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фамилию, имя, отчество (полностью, без сокращений, в соответствии с документом, удостоверяющим личность, отчество при наличии) и код налогоплательщика по Общероссийскому классификатору предприятий и организаций (ОКПО);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lastRenderedPageBreak/>
        <w:t>номера расчетных и иных счетов и наименования банков, в которых данные счета открыты.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7. В </w:t>
      </w:r>
      <w:hyperlink w:anchor="P11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"Доходы и расходы" (далее - раздел I) указывается порядковый номер регистрируемой операции.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8. В </w:t>
      </w:r>
      <w:hyperlink w:anchor="P11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2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дата и номер первичного документа, на основании которого осуществлена регистрируемая операция.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9. В </w:t>
      </w:r>
      <w:hyperlink w:anchor="P11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3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содержание регистрируемой операции.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10. В </w:t>
      </w:r>
      <w:hyperlink w:anchor="P11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4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согласно </w:t>
      </w:r>
      <w:hyperlink r:id="rId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пункту 1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(далее - Кодекс) указываются доходы, определяемые в порядке, установленном </w:t>
      </w:r>
      <w:hyperlink r:id="rId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2 статьи 248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 В данной </w:t>
      </w:r>
      <w:hyperlink w:anchor="P11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не учитываются следующие доходы: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доходы, указанные в </w:t>
      </w:r>
      <w:hyperlink r:id="rId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статье 251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доходы индивидуального предпринимателя в виде дивидендов, а также доходы индивидуального предпринимателя, облагаемые налогом на доходы физических лиц по налоговым ставкам, предусмотренным </w:t>
      </w:r>
      <w:hyperlink r:id="rId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2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5 статьи 224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Кодекса, в порядке, установленном </w:t>
      </w:r>
      <w:hyperlink r:id="rId1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главой 23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Порядок признания и учета доходов при определении налоговой базы по единому сельскохозяйственному налогу установлен </w:t>
      </w:r>
      <w:hyperlink r:id="rId1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1 пункта 5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10 статьи 346.6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11. В </w:t>
      </w:r>
      <w:hyperlink w:anchor="P11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5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указываются расходы, поименованные в </w:t>
      </w:r>
      <w:hyperlink r:id="rId1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пункте 2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 Порядок признания и учета расходов при исчислении налоговой базы по единому сельскохозяйственному налогу установлен </w:t>
      </w:r>
      <w:hyperlink r:id="rId1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3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1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4.1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2 пункта 5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2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4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6.1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2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9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10 статьи 346.6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Расходы налогоплательщика на приобретение (сооружение, изготовление),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активов, предусмотренные </w:t>
      </w:r>
      <w:hyperlink r:id="rId2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подпунктами 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2 пункта 2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Кодекса, определяются в порядке, установленном </w:t>
      </w:r>
      <w:hyperlink r:id="rId3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пунктом 4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2 пункта 5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hyperlink r:id="rId3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пунктами 6.1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3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9 статьи 346.6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13. Расходы на приобретение (сооружение, изготовление),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 отражаются в </w:t>
      </w:r>
      <w:hyperlink w:anchor="P22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разделе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отдельно по каждому объекту.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14. В </w:t>
      </w:r>
      <w:hyperlink w:anchor="P25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"Расчет расходов налогоплательщика на приобретение (сооружение, изготовление),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активов, учитываемых при исчислении налоговой базы по единому сельскохозяйственному налогу" (далее - раздел II) указывается порядковый номер операции.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15. В </w:t>
      </w:r>
      <w:hyperlink w:anchor="P25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2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наименование объекта основных средств или нематериальных активов в соответствии с техническим паспортом и иными документами на объект основных средств или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lastRenderedPageBreak/>
        <w:t xml:space="preserve">16. В </w:t>
      </w:r>
      <w:hyperlink w:anchor="P25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3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дата (число, месяц и год) оплаты объекта основных средств или нематериальных активов на основании первичных документов (платежные поручения, квитанции к приходным кассовым ордерам, иные документы, подтверждающие факт оплаты).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17. В </w:t>
      </w:r>
      <w:hyperlink w:anchor="P26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4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дата (число, месяц и год) подачи документов на государственную регистрацию объектов основных средств.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18. В </w:t>
      </w:r>
      <w:hyperlink w:anchor="P26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5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дата (число, месяц, год) ввода в эксплуатацию объекта основных средств или принятия к учету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19. В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первоначальная стоимость приобретенного (сооруженного, изготовленного) объекта основных сре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Pr="00E832E4">
        <w:rPr>
          <w:rFonts w:ascii="Times New Roman" w:hAnsi="Times New Roman" w:cs="Times New Roman"/>
          <w:sz w:val="24"/>
          <w:szCs w:val="24"/>
        </w:rPr>
        <w:t>ериод применения системы налогообложения для сельскохозяйственных товаропроизводителей (единого сельскохозяйственного налога) и первоначальная стоимость приобретенного (созданного самим налогоплательщиком) объекта нематериальных активов в период применения указанной системы налогообложения.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Первоначальная стоимость приобретенного (сооруженного, изготовленного) основного средства в период применения системы налогообложения для сельскохозяйственных товаропроизводителей (единого сельскохозяйственного налога) указывается в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в том отчетном (налоговом) периоде, в котором произошло последним по времени одно из следующих событий: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ввод в эксплуатацию объекта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подача документов на государственную регистрацию прав на объект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оплата (завершение оплаты) расходов на приобретение (сооружение, изготовление) объекта основных средств.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Первоначальная стоимость приобретенного (созданного самим налогоплательщиком) объекта нематериальных активов в период применения системы налогообложения для сельскохозяйственных товаропроизводителей (единого сельскохозяйственного налога) указывается в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в том отчетном (налоговом) периоде, в котором произошло последним по времени одно из следующих событий: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принятие объекта нематериальных активов на учет;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оплата (завершение оплаты) расходов на приобретение (создание самим налогоплательщиком) объекта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Расходы на достройку, дооборудование, реконструкцию, модернизацию и техническое перевооружение основных средств определяются в соответствии с </w:t>
      </w:r>
      <w:hyperlink r:id="rId3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пунктом 2 статьи 257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Увеличение (уменьшение) первоначальной стоимости основного средства в случаях достройки, дооборудования, реконструкции, модернизации и технического перевооружения указывается в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в том отчетном (налоговом) периоде, в котором произошло последним по времени одно из следующих событий: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ввод в эксплуатацию объекта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lastRenderedPageBreak/>
        <w:t>подача документов на государственную регистрацию прав на объект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оплата (завершение оплаты) расходов на приобретение (сооружение, изготовление) объекта основных средств.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20. В </w:t>
      </w:r>
      <w:hyperlink w:anchor="P26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7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определяемый в порядке, предусмотренном </w:t>
      </w:r>
      <w:hyperlink r:id="rId3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2 пункта 4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Кодекса, срок (количество лет) полезного использования объекта основных средств или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По приобретенным (сооруженным, изготовленным) объектам основных средств и приобретенным (созданным самим налогоплательщиком) объектам нематериальных активов и введенным в эксплуатацию в период применения системы налогообложения для сельскохозяйственных товаропроизводителей </w:t>
      </w:r>
      <w:hyperlink w:anchor="P263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графа 7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не заполняется.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21. В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указываются: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остаточная стоимость приобретенных (сооруженных, изготовленных) основных средств, а также приобретенных (созданных самим налогоплательщиком) нематериальных активов до перехода на уплату единого сельскохозяйственного налога, учитываемая в соответствии с </w:t>
      </w:r>
      <w:hyperlink r:id="rId3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2 пункта 4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расходы на достройку, дооборудование, реконструкцию, модернизацию и техническое перевооружение основных средств, приобретенных до перехода на уплату единого сельскохозяйственного налога, учитываемые в соответствии с </w:t>
      </w:r>
      <w:hyperlink r:id="rId3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1 пункта 4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При переходе индивидуального предпринимателя на уплату единого сельскохозяйственного налога с общей системы налогообложения в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на дату такого перехода указывается остаточная стоимость каждого приобретенного (сооруженного, изготовленного) основного средства и приобретенного (созданного самим индивидуальным предпринимателем) нематериального актива, которые были оплачены до перехода на уплату единого сельскохозяйственного налога, в виде разницы между ценой приобретения (сооружения, изготовления, создания самим индивидуальным</w:t>
      </w:r>
      <w:proofErr w:type="gramEnd"/>
      <w:r w:rsidRPr="00E832E4">
        <w:rPr>
          <w:rFonts w:ascii="Times New Roman" w:hAnsi="Times New Roman" w:cs="Times New Roman"/>
          <w:sz w:val="24"/>
          <w:szCs w:val="24"/>
        </w:rPr>
        <w:t xml:space="preserve"> предпринимателем) и суммой начисленной амортизации в соответствии с требованиями </w:t>
      </w:r>
      <w:hyperlink r:id="rId3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главы 25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При переходе индивидуального предпринимателя на уплату единого сельскохозяйственного налога, с упрощенной системы налогообложения, в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на дату такого перехода указывается остаточная стоимость приобретенных (сооруженных, изготовленных) основных средств и приобретенных (созданных самим налогоплательщиком) нематериальных активов, определяемая в соответствии с </w:t>
      </w:r>
      <w:hyperlink r:id="rId3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пунктом 3 статьи 346.25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Остаточная стоимость каждого приобретенного (сооруженного, изготовленного) основного средства и приобретенного (созданного самим индивидуальным предпринимателем) нематериального актива до перехода на уплату единого сельскохозяйственного налога указывается в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в том отчетном (налоговом) периоде применения единого сельскохозяйственного налога, в котором произошло последним по времени одно из следующих событий: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ввод в эксплуатацию объекта основных средств (принятие объекта нематериальных активов на бухгалтерский учет);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подача документов на государственную регистрацию прав на объект основных </w:t>
      </w:r>
      <w:r w:rsidRPr="00E832E4">
        <w:rPr>
          <w:rFonts w:ascii="Times New Roman" w:hAnsi="Times New Roman" w:cs="Times New Roman"/>
          <w:sz w:val="24"/>
          <w:szCs w:val="24"/>
        </w:rPr>
        <w:lastRenderedPageBreak/>
        <w:t>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оплата (завершение оплаты) расходов на приобретение (сооружение, изготовление) объекта основных средств и приобретение (создание самим налогоплательщиком) объекта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Расходы на достройку, дооборудование, реконструкцию, модернизацию и техническое перевооружение основных средств, приобретенных до перехода на уплату единого сельскохозяйственного налога, увеличивают остаточную стоимость основного средства в том отчетном (налоговом) периоде, в котором в период применения системы налогообложения для сельскохозяйственных товаропроизводителей произошло последним по времени одно из следующих событий: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ввод в эксплуатацию объекта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подача документов на государственную регистрацию прав на объект основных средств;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оплата (завершение оплаты) расходов на приобретение (сооружение, изготовление) объекта основных средств.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22. В </w:t>
      </w:r>
      <w:hyperlink w:anchor="P26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9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количество полугодий эксплуатации в налоговом периоде оплаченного и введенного в эксплуатацию объекта основных средств или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23. В </w:t>
      </w:r>
      <w:hyperlink w:anchor="P26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10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доля стоимости приобретенного (сооруженного, изготовленного) объекта основных средств или приобретенного (созданного самим налогоплательщиком) объекта нематериальных активов, принимаемая в расходы в соответствии с </w:t>
      </w:r>
      <w:hyperlink r:id="rId4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подпунктом 2 пункта 4 статьи 346.5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Кодекса, за налоговый период.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24. В </w:t>
      </w:r>
      <w:hyperlink w:anchor="P26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11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доля стоимости приобретенного (сооруженного, изготовленного) объекта основных средств или приобретенного (созданного самим налогоплательщиком) объекта нематериальных активов, принимаемая в расходы в каждом полугодии налогового периода, определяемая как частное данных </w:t>
      </w:r>
      <w:hyperlink w:anchor="P266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графы 10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данных </w:t>
      </w:r>
      <w:hyperlink w:anchor="P26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графы 9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>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>Значение данного показателя округляется до второго знака после запятой.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26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12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сумма расходов на приобретение (сооружение, изготовление) основных средств,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активов, включаемая в состав расходов, учитываемых при исчислении налоговой базы по единому сельскохозяйственному налогу за каждое полугодие налогового периода, определяемая как произведение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или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8</w:t>
        </w:r>
        <w:proofErr w:type="gramEnd"/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 xml:space="preserve">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6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графы 11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>деленное</w:t>
      </w:r>
      <w:proofErr w:type="gramEnd"/>
      <w:r w:rsidRPr="00E832E4">
        <w:rPr>
          <w:rFonts w:ascii="Times New Roman" w:hAnsi="Times New Roman" w:cs="Times New Roman"/>
          <w:sz w:val="24"/>
          <w:szCs w:val="24"/>
        </w:rPr>
        <w:t xml:space="preserve"> на 100.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Сумма расходов по данной </w:t>
      </w:r>
      <w:hyperlink w:anchor="P268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за каждое полугодие налогового периода отражается в последний день каждого полугодия в </w:t>
      </w:r>
      <w:hyperlink w:anchor="P26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5 раздела 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Книги учета доходов и расходов.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26. В </w:t>
      </w:r>
      <w:hyperlink w:anchor="P26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13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сумма расходов на приобретение (сооружение, изготовление) основных средств,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активов, </w:t>
      </w:r>
      <w:r w:rsidRPr="00E832E4">
        <w:rPr>
          <w:rFonts w:ascii="Times New Roman" w:hAnsi="Times New Roman" w:cs="Times New Roman"/>
          <w:sz w:val="24"/>
          <w:szCs w:val="24"/>
        </w:rPr>
        <w:lastRenderedPageBreak/>
        <w:t xml:space="preserve">включаемая в состав расходов, учитываемых при исчислении налоговой базы по единому сельскохозяйственному налогу за налоговый период. Данная сумма расходов определяется как произведение </w:t>
      </w:r>
      <w:hyperlink w:anchor="P26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 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или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6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 9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67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11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>, деленное на 100.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27.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27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14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сумма расходов на приобретение (сооружение, изготовление) основных средств, достройку, дооборудование, реконструкцию, модернизацию и техническое перевооружение основных средств, а также сумма расходов на приобретение (создание самим налогоплательщиком) нематериальных активов, учтенная в составе расходов при исчислении налоговой базы по единому сельскохозяйственному налогу за предыдущие налоговые периоды (данные </w:t>
      </w:r>
      <w:hyperlink w:anchor="P26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графы 13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Книги учета доходов и расходов</w:t>
      </w:r>
      <w:proofErr w:type="gramEnd"/>
      <w:r w:rsidRPr="00E832E4">
        <w:rPr>
          <w:rFonts w:ascii="Times New Roman" w:hAnsi="Times New Roman" w:cs="Times New Roman"/>
          <w:sz w:val="24"/>
          <w:szCs w:val="24"/>
        </w:rPr>
        <w:t xml:space="preserve"> за предыдущие налоговые периоды).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По приобретенным (сооруженным, изготовленным) основным средствам и приобретенным (созданным самим налогоплательщиком) нематериальным активам и введенным в эксплуатацию в период применения системы налогообложения для сельскохозяйственных товаропроизводителей </w:t>
      </w:r>
      <w:hyperlink w:anchor="P27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графа 14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не заполняется.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28. </w:t>
      </w: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27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15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оставшаяся часть расходов на приобретение (сооружение, изготовление) основных средств,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активов, подлежащая списанию в последующих отчетных (налоговых) периодах (разность </w:t>
      </w:r>
      <w:hyperlink w:anchor="P264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графы 8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69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 13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270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14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32E4">
        <w:rPr>
          <w:rFonts w:ascii="Times New Roman" w:hAnsi="Times New Roman" w:cs="Times New Roman"/>
          <w:sz w:val="24"/>
          <w:szCs w:val="24"/>
        </w:rPr>
        <w:t xml:space="preserve">По приобретенным (сооруженным, изготовленным) основным средствам и приобретенным (созданным самим налогоплательщиком) нематериальным активам и введенным в эксплуатацию в период применения системы налогообложения для сельскохозяйственных товаропроизводителей </w:t>
      </w:r>
      <w:hyperlink w:anchor="P271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графа 15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не заполняется.</w:t>
      </w:r>
      <w:proofErr w:type="gramEnd"/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29. В </w:t>
      </w:r>
      <w:hyperlink w:anchor="P272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графе 16 раздела II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указывается дата (число, месяц и год) выбытия (реализации) объекта основных средств или нематериальных активов.</w:t>
      </w:r>
    </w:p>
    <w:p w:rsidR="009A06CA" w:rsidRPr="00E832E4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832E4">
        <w:rPr>
          <w:rFonts w:ascii="Times New Roman" w:hAnsi="Times New Roman" w:cs="Times New Roman"/>
          <w:sz w:val="24"/>
          <w:szCs w:val="24"/>
        </w:rPr>
        <w:t xml:space="preserve">30. По итоговой </w:t>
      </w:r>
      <w:hyperlink w:anchor="P305">
        <w:r w:rsidRPr="00E832E4">
          <w:rPr>
            <w:rFonts w:ascii="Times New Roman" w:hAnsi="Times New Roman" w:cs="Times New Roman"/>
            <w:color w:val="0000FF"/>
            <w:sz w:val="24"/>
            <w:szCs w:val="24"/>
          </w:rPr>
          <w:t>строке</w:t>
        </w:r>
      </w:hyperlink>
      <w:r w:rsidRPr="00E832E4">
        <w:rPr>
          <w:rFonts w:ascii="Times New Roman" w:hAnsi="Times New Roman" w:cs="Times New Roman"/>
          <w:sz w:val="24"/>
          <w:szCs w:val="24"/>
        </w:rPr>
        <w:t xml:space="preserve"> данного раздела за отчетный (налоговый) период указывается сумма значений показателей граф 6 раздела II, 8 раздела II, 12 - 15 раздела II.</w:t>
      </w: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E832E4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9A06CA" w:rsidRPr="00E832E4" w:rsidSect="001A6C1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6CA"/>
    <w:rsid w:val="00017944"/>
    <w:rsid w:val="00096C9F"/>
    <w:rsid w:val="001F3BD7"/>
    <w:rsid w:val="00226525"/>
    <w:rsid w:val="002A1547"/>
    <w:rsid w:val="007152A8"/>
    <w:rsid w:val="0094222F"/>
    <w:rsid w:val="009A06CA"/>
    <w:rsid w:val="00B360CC"/>
    <w:rsid w:val="00E14BE5"/>
    <w:rsid w:val="00E832E4"/>
    <w:rsid w:val="00F153E3"/>
    <w:rsid w:val="00F7402D"/>
    <w:rsid w:val="00FE5242"/>
    <w:rsid w:val="00FF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A06C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A06C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A06C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A06C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A06C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482&amp;dst=101893" TargetMode="External"/><Relationship Id="rId13" Type="http://schemas.openxmlformats.org/officeDocument/2006/relationships/hyperlink" Target="https://login.consultant.ru/link/?req=doc&amp;base=LAW&amp;n=454482&amp;dst=374" TargetMode="External"/><Relationship Id="rId18" Type="http://schemas.openxmlformats.org/officeDocument/2006/relationships/hyperlink" Target="https://login.consultant.ru/link/?req=doc&amp;base=LAW&amp;n=454482&amp;dst=3326" TargetMode="External"/><Relationship Id="rId26" Type="http://schemas.openxmlformats.org/officeDocument/2006/relationships/hyperlink" Target="https://login.consultant.ru/link/?req=doc&amp;base=LAW&amp;n=454482&amp;dst=2757" TargetMode="External"/><Relationship Id="rId39" Type="http://schemas.openxmlformats.org/officeDocument/2006/relationships/hyperlink" Target="https://login.consultant.ru/link/?req=doc&amp;base=LAW&amp;n=454482&amp;dst=4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54482&amp;dst=374" TargetMode="External"/><Relationship Id="rId34" Type="http://schemas.openxmlformats.org/officeDocument/2006/relationships/hyperlink" Target="https://login.consultant.ru/link/?req=doc&amp;base=LAW&amp;n=454482&amp;dst=24148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54482&amp;dst=101855" TargetMode="External"/><Relationship Id="rId12" Type="http://schemas.openxmlformats.org/officeDocument/2006/relationships/hyperlink" Target="https://login.consultant.ru/link/?req=doc&amp;base=LAW&amp;n=454482&amp;dst=2724" TargetMode="External"/><Relationship Id="rId17" Type="http://schemas.openxmlformats.org/officeDocument/2006/relationships/hyperlink" Target="https://login.consultant.ru/link/?req=doc&amp;base=LAW&amp;n=454482&amp;dst=356" TargetMode="External"/><Relationship Id="rId25" Type="http://schemas.openxmlformats.org/officeDocument/2006/relationships/hyperlink" Target="https://login.consultant.ru/link/?req=doc&amp;base=LAW&amp;n=454482&amp;dst=2749" TargetMode="External"/><Relationship Id="rId33" Type="http://schemas.openxmlformats.org/officeDocument/2006/relationships/hyperlink" Target="https://login.consultant.ru/link/?req=doc&amp;base=LAW&amp;n=454482&amp;dst=2757" TargetMode="External"/><Relationship Id="rId38" Type="http://schemas.openxmlformats.org/officeDocument/2006/relationships/hyperlink" Target="https://login.consultant.ru/link/?req=doc&amp;base=LAW&amp;n=454482&amp;dst=1018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54482&amp;dst=322" TargetMode="External"/><Relationship Id="rId20" Type="http://schemas.openxmlformats.org/officeDocument/2006/relationships/hyperlink" Target="https://login.consultant.ru/link/?req=doc&amp;base=LAW&amp;n=454482&amp;dst=2726" TargetMode="External"/><Relationship Id="rId29" Type="http://schemas.openxmlformats.org/officeDocument/2006/relationships/hyperlink" Target="https://login.consultant.ru/link/?req=doc&amp;base=LAW&amp;n=454482&amp;dst=2676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482&amp;dst=101847" TargetMode="External"/><Relationship Id="rId11" Type="http://schemas.openxmlformats.org/officeDocument/2006/relationships/hyperlink" Target="https://login.consultant.ru/link/?req=doc&amp;base=LAW&amp;n=454482&amp;dst=101069" TargetMode="External"/><Relationship Id="rId24" Type="http://schemas.openxmlformats.org/officeDocument/2006/relationships/hyperlink" Target="https://login.consultant.ru/link/?req=doc&amp;base=LAW&amp;n=454482&amp;dst=4090" TargetMode="External"/><Relationship Id="rId32" Type="http://schemas.openxmlformats.org/officeDocument/2006/relationships/hyperlink" Target="https://login.consultant.ru/link/?req=doc&amp;base=LAW&amp;n=454482&amp;dst=2749" TargetMode="External"/><Relationship Id="rId37" Type="http://schemas.openxmlformats.org/officeDocument/2006/relationships/hyperlink" Target="https://login.consultant.ru/link/?req=doc&amp;base=LAW&amp;n=454482&amp;dst=3327" TargetMode="External"/><Relationship Id="rId40" Type="http://schemas.openxmlformats.org/officeDocument/2006/relationships/hyperlink" Target="https://login.consultant.ru/link/?req=doc&amp;base=LAW&amp;n=454482&amp;dst=2710" TargetMode="External"/><Relationship Id="rId5" Type="http://schemas.openxmlformats.org/officeDocument/2006/relationships/hyperlink" Target="https://login.consultant.ru/link/?req=doc&amp;base=LAW&amp;n=454482&amp;dst=11844" TargetMode="External"/><Relationship Id="rId15" Type="http://schemas.openxmlformats.org/officeDocument/2006/relationships/hyperlink" Target="https://login.consultant.ru/link/?req=doc&amp;base=LAW&amp;n=454482&amp;dst=20685" TargetMode="External"/><Relationship Id="rId23" Type="http://schemas.openxmlformats.org/officeDocument/2006/relationships/hyperlink" Target="https://login.consultant.ru/link/?req=doc&amp;base=LAW&amp;n=454482&amp;dst=377" TargetMode="External"/><Relationship Id="rId28" Type="http://schemas.openxmlformats.org/officeDocument/2006/relationships/hyperlink" Target="https://login.consultant.ru/link/?req=doc&amp;base=LAW&amp;n=454482&amp;dst=3324" TargetMode="External"/><Relationship Id="rId36" Type="http://schemas.openxmlformats.org/officeDocument/2006/relationships/hyperlink" Target="https://login.consultant.ru/link/?req=doc&amp;base=LAW&amp;n=454482&amp;dst=2710" TargetMode="External"/><Relationship Id="rId10" Type="http://schemas.openxmlformats.org/officeDocument/2006/relationships/hyperlink" Target="https://login.consultant.ru/link/?req=doc&amp;base=LAW&amp;n=454482&amp;dst=737" TargetMode="External"/><Relationship Id="rId19" Type="http://schemas.openxmlformats.org/officeDocument/2006/relationships/hyperlink" Target="https://login.consultant.ru/link/?req=doc&amp;base=LAW&amp;n=454482&amp;dst=2722" TargetMode="External"/><Relationship Id="rId31" Type="http://schemas.openxmlformats.org/officeDocument/2006/relationships/hyperlink" Target="https://login.consultant.ru/link/?req=doc&amp;base=LAW&amp;n=454482&amp;dst=2726" TargetMode="External"/><Relationship Id="rId4" Type="http://schemas.openxmlformats.org/officeDocument/2006/relationships/hyperlink" Target="https://login.consultant.ru/link/?req=doc&amp;base=LAW&amp;n=471732" TargetMode="External"/><Relationship Id="rId9" Type="http://schemas.openxmlformats.org/officeDocument/2006/relationships/hyperlink" Target="https://login.consultant.ru/link/?req=doc&amp;base=LAW&amp;n=454482&amp;dst=101443" TargetMode="External"/><Relationship Id="rId14" Type="http://schemas.openxmlformats.org/officeDocument/2006/relationships/hyperlink" Target="https://login.consultant.ru/link/?req=doc&amp;base=LAW&amp;n=454482&amp;dst=377" TargetMode="External"/><Relationship Id="rId22" Type="http://schemas.openxmlformats.org/officeDocument/2006/relationships/hyperlink" Target="https://login.consultant.ru/link/?req=doc&amp;base=LAW&amp;n=454482&amp;dst=375" TargetMode="External"/><Relationship Id="rId27" Type="http://schemas.openxmlformats.org/officeDocument/2006/relationships/hyperlink" Target="https://login.consultant.ru/link/?req=doc&amp;base=LAW&amp;n=454482&amp;dst=20685" TargetMode="External"/><Relationship Id="rId30" Type="http://schemas.openxmlformats.org/officeDocument/2006/relationships/hyperlink" Target="https://login.consultant.ru/link/?req=doc&amp;base=LAW&amp;n=454482&amp;dst=3326" TargetMode="External"/><Relationship Id="rId35" Type="http://schemas.openxmlformats.org/officeDocument/2006/relationships/hyperlink" Target="https://login.consultant.ru/link/?req=doc&amp;base=LAW&amp;n=454482&amp;dst=27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3085</Words>
  <Characters>17586</Characters>
  <Application>Microsoft Office Word</Application>
  <DocSecurity>0</DocSecurity>
  <Lines>146</Lines>
  <Paragraphs>41</Paragraphs>
  <ScaleCrop>false</ScaleCrop>
  <Company>Hewlett-Packard Company</Company>
  <LinksUpToDate>false</LinksUpToDate>
  <CharactersWithSpaces>20630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5</cp:revision>
  <dcterms:created xsi:type="dcterms:W3CDTF">2024-04-09T06:47:00Z</dcterms:created>
  <dcterms:modified xsi:type="dcterms:W3CDTF">2024-04-10T03:21:00Z</dcterms:modified>
</cp:coreProperties>
</file>